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template.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Override ContentType="application/vnd.openxmlformats-officedocument.wordprocessingml.header+xml" PartName="/word/header2.xml"/>
  <Override ContentType="application/vnd.openxmlformats-officedocument.wordprocessingml.footer+xml" PartName="/word/footer2.xml"/>
  <Override PartName="/word/theme/theme1.xml" ContentType="application/vnd.openxmlformats-officedocument.them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line="240" w:lineRule="auto"/>
      </w:pPr>
      <w:r>
        <w:drawing>
          <wp:anchor distT="0" distB="0" distL="0" distR="0" simplePos="0" allowOverlap="1" behindDoc="1" locked="1" layoutInCell="1" relativeHeight="10058400">
            <wp:simplePos x="0" y="0"/>
            <wp:positionH relativeFrom="page">
              <wp:posOffset>0</wp:posOffset>
            </wp:positionH>
            <wp:positionV relativeFrom="page">
              <wp:posOffset>0</wp:posOffset>
            </wp:positionV>
            <wp:extent cx="7772400" cy="10058400"/>
            <wp:effectExtent t="0" r="0" b="0" l="0"/>
            <wp:wrapNone/>
            <wp:docPr id="1" name="Cover background" descr="Dark blue gradient" title="Cover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7772400" cy="10058400"/>
                    </a:xfrm>
                    <a:prstGeom prst="rect">
                      <a:avLst/>
                    </a:prstGeom>
                  </pic:spPr>
                </pic:pic>
              </a:graphicData>
            </a:graphic>
          </wp:anchor>
        </w:drawing>
      </w:r>
      <w:r>
        <w:drawing>
          <wp:inline distT="0" distB="0" distL="0" distR="0">
            <wp:extent cx="1905000" cy="323850"/>
            <wp:effectExtent t="0" r="0" b="0" l="0"/>
            <wp:docPr id="1" name="Simple Healthcare logo" descr="Simple Healthcare logo" title="Simple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1905000" cy="323850"/>
                    </a:xfrm>
                    <a:prstGeom prst="rect">
                      <a:avLst/>
                    </a:prstGeom>
                  </pic:spPr>
                </pic:pic>
              </a:graphicData>
            </a:graphic>
          </wp:inline>
        </w:drawing>
      </w:r>
    </w:p>
    <w:p>
      <w:pPr>
        <w:pStyle w:val="CoverLabel"/>
      </w:pPr>
      <w:r>
        <w:t xml:space="preserve">Report</w:t>
      </w:r>
    </w:p>
    <w:p>
      <w:pPr>
        <w:pStyle w:val="CoverTitle"/>
      </w:pPr>
      <w:r>
        <w:t xml:space="preserve">Document title</w:t>
      </w:r>
    </w:p>
    <w:p>
      <w:pPr>
        <w:pStyle w:val="CoverSubtitle"/>
      </w:pPr>
      <w:r>
        <w:t xml:space="preserve">Prepared for Client name · September 2026</w:t>
      </w:r>
    </w:p>
    <w:p>
      <w:pPr>
        <w:sectPr>
          <w:headerReference w:type="default" r:id="rId7"/>
          <w:footerReference w:type="default" r:id="rId8"/>
          <w:pgSz w:w="12240" w:h="15840" w:orient="portrait"/>
          <w:pgMar w:top="1440" w:right="1440" w:bottom="1440" w:left="1440" w:header="720" w:footer="720" w:gutter="0"/>
          <w:pgNumType/>
          <w:docGrid w:linePitch="360"/>
        </w:sectPr>
      </w:pPr>
    </w:p>
    <w:p>
      <w:pPr>
        <w:pStyle w:val="SectionNumber"/>
      </w:pPr>
      <w:r>
        <w:t xml:space="preserve">01</w:t>
      </w:r>
    </w:p>
    <w:p>
      <w:pPr>
        <w:pStyle w:val="Heading1"/>
      </w:pPr>
      <w:r>
        <w:t xml:space="preserve">Start with the answer</w:t>
      </w:r>
    </w:p>
    <w:p>
      <w:pPr>
        <w:pStyle w:val="Lead"/>
      </w:pPr>
      <w:r>
        <w:t xml:space="preserve">Lead paragraph. Open with the finding in one or two sentences, so a reader who stops here still leaves with the point. Everything after this supports it.</w:t>
      </w:r>
    </w:p>
    <w:p>
      <w:r>
        <w:t xml:space="preserve">Body text is Manrope Regular at 12 pt, in gray. Write in second person and active voice, use the Oxford comma, and skip exclamation points. Show sources and caveats rather than hiding them, and label estimates as estimates.</w:t>
      </w:r>
    </w:p>
    <w:p>
      <w:pPr>
        <w:pStyle w:val="Heading2"/>
      </w:pPr>
      <w:r>
        <w:t xml:space="preserve">Headings and lists</w:t>
      </w:r>
    </w:p>
    <w:p>
      <w:r>
        <w:t xml:space="preserve">Headings are sentence case, blue-900, and bold. Use Heading 1 for sections, Heading 2 for topics within a section, and Heading 3 sparingly.</w:t>
      </w:r>
    </w:p>
    <w:p>
      <w:pPr>
        <w:pStyle w:val="ListParagraph"/>
        <w:numPr>
          <w:ilvl w:val="0"/>
          <w:numId w:val="2"/>
        </w:numPr>
      </w:pPr>
      <w:r>
        <w:t xml:space="preserve">Bulleted lists use the brand blue marker</w:t>
      </w:r>
    </w:p>
    <w:p>
      <w:pPr>
        <w:pStyle w:val="ListParagraph"/>
        <w:numPr>
          <w:ilvl w:val="0"/>
          <w:numId w:val="2"/>
        </w:numPr>
      </w:pPr>
      <w:r>
        <w:t xml:space="preserve">Keep items parallel and short</w:t>
      </w:r>
    </w:p>
    <w:p>
      <w:pPr>
        <w:pStyle w:val="ListParagraph"/>
        <w:numPr>
          <w:ilvl w:val="1"/>
          <w:numId w:val="2"/>
        </w:numPr>
      </w:pPr>
      <w:r>
        <w:t xml:space="preserve">Nest no more than one level deep</w:t>
      </w:r>
    </w:p>
    <w:p>
      <w:pPr>
        <w:pStyle w:val="ListParagraph"/>
        <w:numPr>
          <w:ilvl w:val="0"/>
          <w:numId w:val="3"/>
        </w:numPr>
      </w:pPr>
      <w:r>
        <w:t xml:space="preserve">Numbered lists are for steps that happen in order</w:t>
      </w:r>
    </w:p>
    <w:p>
      <w:pPr>
        <w:pStyle w:val="ListParagraph"/>
        <w:numPr>
          <w:ilvl w:val="0"/>
          <w:numId w:val="3"/>
        </w:numPr>
      </w:pPr>
      <w:r>
        <w:t xml:space="preserve">Each step starts with a verb</w:t>
      </w:r>
    </w:p>
    <w:p>
      <w:pPr>
        <w:pStyle w:val="Heading3"/>
      </w:pPr>
      <w:r>
        <w:t xml:space="preserve">Use a label for small categories</w:t>
      </w:r>
    </w:p>
    <w:p>
      <w:pPr>
        <w:pStyle w:val="Eyebrow"/>
      </w:pPr>
      <w:r>
        <w:t xml:space="preserve">Label</w:t>
      </w:r>
    </w:p>
    <w:p>
      <w:r>
        <w:t xml:space="preserve">The Label style is bold, uppercase, and widely tracked. Use it for eyebrows and small category markers, no more than one per page region.</w:t>
      </w:r>
    </w:p>
    <w:p>
      <w:pPr>
        <w:pStyle w:val="SectionNumber"/>
      </w:pPr>
      <w:r>
        <w:t xml:space="preserve">02</w:t>
      </w:r>
    </w:p>
    <w:p>
      <w:pPr>
        <w:pStyle w:val="Heading1"/>
      </w:pPr>
      <w:r>
        <w:t xml:space="preserve">Tables and numbers</w:t>
      </w:r>
    </w:p>
    <w:p>
      <w:r>
        <w:t xml:space="preserve">Tables use blue-900 header text on a blue-50 band, gray-200 rules between rows, and no vertical lines. Numbers are right-aligned in Noto Sans Mono so columns line up.</w:t>
      </w:r>
    </w:p>
    <w:p>
      <w:pPr>
        <w:pStyle w:val="Caption"/>
      </w:pPr>
      <w:r>
        <w:t xml:space="preserve">Table 1. Estimated cash price for CPT 99213 by facility</w:t>
      </w:r>
    </w:p>
    <w:tbl>
      <w:tblPr>
        <w:tblStyle w:val="SimpleTable"/>
        <w:tblW w:type="dxa" w:w="9360"/>
        <w:tblBorders>
          <w:top w:val="none" w:color="FFFFFF" w:sz="0"/>
          <w:left w:val="none" w:color="FFFFFF" w:sz="0"/>
          <w:bottom w:val="none" w:color="FFFFFF" w:sz="0"/>
          <w:right w:val="none" w:color="FFFFFF" w:sz="0"/>
          <w:insideH w:val="single" w:color="DCE4E9" w:sz="4"/>
          <w:insideV w:val="none" w:color="FFFFFF" w:sz="0"/>
        </w:tblBorders>
      </w:tblPr>
      <w:tblGrid>
        <w:gridCol w:w="3960"/>
        <w:gridCol w:w="1800"/>
        <w:gridCol w:w="1800"/>
        <w:gridCol w:w="1800"/>
      </w:tblGrid>
      <w:tr>
        <w:trPr>
          <w:tblHeader/>
        </w:trPr>
        <w:tc>
          <w:tcPr>
            <w:tcW w:type="dxa" w:w="3960"/>
            <w:tcBorders>
              <w:top w:val="none" w:color="FFFFFF" w:sz="0"/>
              <w:left w:val="none" w:color="FFFFFF" w:sz="0"/>
              <w:bottom w:val="single" w:color="DCE4E9" w:sz="4"/>
              <w:right w:val="none" w:color="FFFFFF" w:sz="0"/>
            </w:tcBorders>
            <w:shd w:fill="F0F8FF" w:color="auto" w:val="clear"/>
            <w:tcMar>
              <w:top w:type="dxa" w:w="40"/>
              <w:left w:type="dxa" w:w="120"/>
              <w:bottom w:type="dxa" w:w="40"/>
              <w:right w:type="dxa" w:w="120"/>
            </w:tcMar>
            <w:vAlign w:val="center"/>
          </w:tcPr>
          <w:p>
            <w:pPr>
              <w:pStyle w:val="TableHeader"/>
              <w:jc w:val="left"/>
            </w:pPr>
            <w:r>
              <w:t xml:space="preserve">Facility</w:t>
            </w:r>
          </w:p>
        </w:tc>
        <w:tc>
          <w:tcPr>
            <w:tcW w:type="dxa" w:w="1800"/>
            <w:tcBorders>
              <w:top w:val="none" w:color="FFFFFF" w:sz="0"/>
              <w:left w:val="none" w:color="FFFFFF" w:sz="0"/>
              <w:bottom w:val="single" w:color="DCE4E9" w:sz="4"/>
              <w:right w:val="none" w:color="FFFFFF" w:sz="0"/>
            </w:tcBorders>
            <w:shd w:fill="F0F8FF" w:color="auto" w:val="clear"/>
            <w:tcMar>
              <w:top w:type="dxa" w:w="40"/>
              <w:left w:type="dxa" w:w="120"/>
              <w:bottom w:type="dxa" w:w="40"/>
              <w:right w:type="dxa" w:w="120"/>
            </w:tcMar>
            <w:vAlign w:val="center"/>
          </w:tcPr>
          <w:p>
            <w:pPr>
              <w:pStyle w:val="TableHeader"/>
              <w:jc w:val="right"/>
            </w:pPr>
            <w:r>
              <w:t xml:space="preserve">Low</w:t>
            </w:r>
          </w:p>
        </w:tc>
        <w:tc>
          <w:tcPr>
            <w:tcW w:type="dxa" w:w="1800"/>
            <w:tcBorders>
              <w:top w:val="none" w:color="FFFFFF" w:sz="0"/>
              <w:left w:val="none" w:color="FFFFFF" w:sz="0"/>
              <w:bottom w:val="single" w:color="DCE4E9" w:sz="4"/>
              <w:right w:val="none" w:color="FFFFFF" w:sz="0"/>
            </w:tcBorders>
            <w:shd w:fill="F0F8FF" w:color="auto" w:val="clear"/>
            <w:tcMar>
              <w:top w:type="dxa" w:w="40"/>
              <w:left w:type="dxa" w:w="120"/>
              <w:bottom w:type="dxa" w:w="40"/>
              <w:right w:type="dxa" w:w="120"/>
            </w:tcMar>
            <w:vAlign w:val="center"/>
          </w:tcPr>
          <w:p>
            <w:pPr>
              <w:pStyle w:val="TableHeader"/>
              <w:jc w:val="right"/>
            </w:pPr>
            <w:r>
              <w:t xml:space="preserve">Median</w:t>
            </w:r>
          </w:p>
        </w:tc>
        <w:tc>
          <w:tcPr>
            <w:tcW w:type="dxa" w:w="1800"/>
            <w:tcBorders>
              <w:top w:val="none" w:color="FFFFFF" w:sz="0"/>
              <w:left w:val="none" w:color="FFFFFF" w:sz="0"/>
              <w:bottom w:val="single" w:color="DCE4E9" w:sz="4"/>
              <w:right w:val="none" w:color="FFFFFF" w:sz="0"/>
            </w:tcBorders>
            <w:shd w:fill="F0F8FF" w:color="auto" w:val="clear"/>
            <w:tcMar>
              <w:top w:type="dxa" w:w="40"/>
              <w:left w:type="dxa" w:w="120"/>
              <w:bottom w:type="dxa" w:w="40"/>
              <w:right w:type="dxa" w:w="120"/>
            </w:tcMar>
            <w:vAlign w:val="center"/>
          </w:tcPr>
          <w:p>
            <w:pPr>
              <w:pStyle w:val="TableHeader"/>
              <w:jc w:val="right"/>
            </w:pPr>
            <w:r>
              <w:t xml:space="preserve">High</w:t>
            </w:r>
          </w:p>
        </w:tc>
      </w:tr>
      <w:tr>
        <w:trPr>
          <w:tblHeader w:val="false"/>
        </w:trPr>
        <w:tc>
          <w:tcPr>
            <w:tcW w:type="dxa" w:w="396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Text"/>
              <w:jc w:val="left"/>
            </w:pPr>
            <w:r>
              <w:t xml:space="preserve">Providence Portland Medical Center</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$980</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$1,240</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$1,410</w:t>
            </w:r>
          </w:p>
        </w:tc>
      </w:tr>
      <w:tr>
        <w:trPr>
          <w:tblHeader w:val="false"/>
        </w:trPr>
        <w:tc>
          <w:tcPr>
            <w:tcW w:type="dxa" w:w="396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Text"/>
              <w:jc w:val="left"/>
            </w:pPr>
            <w:r>
              <w:t xml:space="preserve">Legacy Emanuel Medical Center</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$1,020</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$1,315</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$1,560</w:t>
            </w:r>
          </w:p>
        </w:tc>
      </w:tr>
      <w:tr>
        <w:trPr>
          <w:tblHeader w:val="false"/>
        </w:trPr>
        <w:tc>
          <w:tcPr>
            <w:tcW w:type="dxa" w:w="396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Text"/>
              <w:jc w:val="left"/>
            </w:pPr>
            <w:r>
              <w:t xml:space="preserve">OHSU Hospital</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$1,105</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$1,390</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$1,720</w:t>
            </w:r>
          </w:p>
        </w:tc>
      </w:tr>
      <w:tr>
        <w:trPr>
          <w:tblHeader w:val="false"/>
        </w:trPr>
        <w:tc>
          <w:tcPr>
            <w:tcW w:type="dxa" w:w="396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Text"/>
              <w:jc w:val="left"/>
            </w:pPr>
            <w:r>
              <w:t xml:space="preserve">Adventist Health Portland</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$890</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$1,160</w:t>
            </w:r>
          </w:p>
        </w:tc>
        <w:tc>
          <w:tcPr>
            <w:tcW w:type="dxa" w:w="1800"/>
            <w:tcBorders>
              <w:top w:val="none" w:color="FFFFFF" w:sz="0"/>
              <w:left w:val="none" w:color="FFFFFF" w:sz="0"/>
              <w:bottom w:val="single" w:color="DCE4E9" w:sz="4"/>
              <w:right w:val="none" w:color="FFFFFF" w:sz="0"/>
            </w:tcBorders>
            <w:tcMar>
              <w:top w:type="dxa" w:w="40"/>
              <w:left w:type="dxa" w:w="120"/>
              <w:bottom w:type="dxa" w:w="40"/>
              <w:right w:type="dxa" w:w="120"/>
            </w:tcMar>
            <w:vAlign w:val="center"/>
          </w:tcPr>
          <w:p>
            <w:pPr>
              <w:pStyle w:val="TableNumber"/>
              <w:jc w:val="right"/>
            </w:pPr>
            <w:r>
              <w:t xml:space="preserve">$1,380</w:t>
            </w:r>
          </w:p>
        </w:tc>
      </w:tr>
    </w:tbl>
    <w:p>
      <w:pPr>
        <w:pStyle w:val="Source"/>
      </w:pPr>
      <w:r>
        <w:t xml:space="preserve">Source: published prices, retrieved 2026-09-01. Figures are estimates.</w:t>
      </w:r>
    </w:p>
    <w:p>
      <w:pPr>
        <w:pStyle w:val="Heading2"/>
      </w:pPr>
      <w:r>
        <w:t xml:space="preserve">Callouts</w:t>
      </w:r>
    </w:p>
    <w:p>
      <w:r>
        <w:t xml:space="preserve">Callouts mirror the product’s Callout component, so a caveat looks the same in a report as in the app. Orange is a caveat, blue is context, and green is done.</w:t>
      </w:r>
    </w:p>
    <w:p>
      <w:pPr>
        <w:pStyle w:val="CalloutCaveat"/>
      </w:pPr>
      <w:r>
        <w:t xml:space="preserve">Estimate: these prices are based on negotiated rates published by plans in August 2026. Your actual cost depends on your plan and whether the facility is in network.</w:t>
      </w:r>
    </w:p>
    <w:p>
      <w:pPr>
        <w:pStyle w:val="CalloutContext"/>
      </w:pPr>
      <w:r>
        <w:t xml:space="preserve">Context: a negotiated rate is the price a plan has agreed to pay a provider. A cash price is what the facility charges when you pay without insurance.</w:t>
      </w:r>
    </w:p>
    <w:p>
      <w:pPr>
        <w:pStyle w:val="CalloutDone"/>
      </w:pPr>
      <w:r>
        <w:t xml:space="preserve">Done: all four facilities have published prices for this billing code.</w:t>
      </w:r>
    </w:p>
    <w:p>
      <w:pPr>
        <w:pStyle w:val="Heading2"/>
      </w:pPr>
      <w:r>
        <w:t xml:space="preserve">Charts</w:t>
      </w:r>
    </w:p>
    <w:p>
      <w:r>
        <w:t xml:space="preserve">Use Keppel for the primary series, blue-600 for the second, and gray-400 for context. Use orange only to highlight a single point. The theme colors in this template follow that order, so a new chart starts correctly.</w:t>
      </w:r>
    </w:p>
    <w:p>
      <w:pPr>
        <w:pStyle w:val="Heading3"/>
      </w:pPr>
      <w:r>
        <w:t xml:space="preserve">Code and identifiers</w:t>
      </w:r>
    </w:p>
    <w:p>
      <w:r>
        <w:t xml:space="preserve">Set billing codes and identifiers such as </w:t>
      </w:r>
      <w:r>
        <w:rPr>
          <w:rStyle w:val="InlineCode"/>
        </w:rPr>
        <w:t xml:space="preserve">CPT 99213</w:t>
      </w:r>
      <w:r>
        <w:t xml:space="preserve"> in the Inline code style.</w:t>
      </w:r>
    </w:p>
    <w:sectPr>
      <w:headerReference w:type="default" r:id="rId9"/>
      <w:footerReference w:type="default" r:id="rId10"/>
      <w:pgSz w:w="12240" w:h="15840" w:orient="portrait"/>
      <w:pgMar w:top="1440" w:right="1440" w:bottom="1296" w:left="1440" w:header="620" w:footer="6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t xml:space="preserv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HeaderFooterText"/>
      <w:pBdr>
        <w:top w:val="single" w:color="DCE4E9" w:sz="4" w:space="8"/>
      </w:pBdr>
      <w:tabs>
        <w:tab w:val="right" w:pos="9360"/>
      </w:tabs>
    </w:pPr>
    <w:r>
      <w:t xml:space="preserve">Simple Healthcare  ·  </w:t>
    </w:r>
    <w:fldSimple w:instr="TITLE">
      <w:r>
        <w:t xml:space="preserve">Document title</w:t>
      </w:r>
    </w:fldSimple>
    <w:r>
      <w:t xml:space="preserve">	</w:t>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t xml:space="preserv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spacing w:after="0"/>
      <w:jc w:val="right"/>
    </w:pPr>
    <w:r>
      <w:drawing>
        <wp:inline distT="0" distB="0" distL="0" distR="0">
          <wp:extent cx="1228725" cy="209550"/>
          <wp:effectExtent t="0" r="0" b="0" l="0"/>
          <wp:docPr id="1" name="Simple Healthcare logo" descr="Simple Healthcare logo" title="Simple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228725" cy="2095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spacing w:after="80"/>
        <w:ind w:left="360" w:hanging="260"/>
      </w:pPr>
      <w:rPr>
        <w:rFonts w:ascii="Manrope" w:cs="Manrope" w:eastAsia="Manrope" w:hAnsi="Manrope"/>
        <w:color w:val="037AD5"/>
      </w:rPr>
    </w:lvl>
    <w:lvl w:ilvl="1" w15:tentative="1">
      <w:start w:val="1"/>
      <w:numFmt w:val="bullet"/>
      <w:lvlText w:val="–"/>
      <w:lvlJc w:val="left"/>
      <w:pPr>
        <w:spacing w:after="80"/>
        <w:ind w:left="720" w:hanging="260"/>
      </w:pPr>
      <w:rPr>
        <w:rFonts w:ascii="Manrope" w:cs="Manrope" w:eastAsia="Manrope" w:hAnsi="Manrope"/>
        <w:color w:val="037AD5"/>
      </w:rPr>
    </w:lvl>
    <w:lvl w:ilvl="2" w15:tentative="1">
      <w:start w:val="1"/>
      <w:numFmt w:val="bullet"/>
      <w:lvlText w:val="•"/>
      <w:lvlJc w:val="left"/>
      <w:pPr>
        <w:spacing w:after="80"/>
        <w:ind w:left="1080" w:hanging="260"/>
      </w:pPr>
      <w:rPr>
        <w:rFonts w:ascii="Manrope" w:cs="Manrope" w:eastAsia="Manrope" w:hAnsi="Manrope"/>
        <w:color w:val="037AD5"/>
      </w:rPr>
    </w:lvl>
  </w:abstractNum>
  <w:abstractNum w:abstractNumId="3" w15:restartNumberingAfterBreak="0">
    <w:multiLevelType w:val="hybridMultilevel"/>
    <w:lvl w:ilvl="0" w15:tentative="1">
      <w:start w:val="1"/>
      <w:numFmt w:val="decimal"/>
      <w:lvlText w:val="%1."/>
      <w:lvlJc w:val="left"/>
      <w:pPr>
        <w:spacing w:after="80"/>
        <w:ind w:left="360" w:hanging="300"/>
      </w:pPr>
      <w:rPr>
        <w:rFonts w:ascii="Manrope" w:cs="Manrope" w:eastAsia="Manrope" w:hAnsi="Manrope"/>
        <w:b/>
        <w:bCs/>
        <w:color w:val="0C416E"/>
      </w:rPr>
    </w:lvl>
    <w:lvl w:ilvl="1" w15:tentative="1">
      <w:start w:val="1"/>
      <w:numFmt w:val="lowerLetter"/>
      <w:lvlText w:val="%2."/>
      <w:lvlJc w:val="left"/>
      <w:pPr>
        <w:spacing w:after="80"/>
        <w:ind w:left="720" w:hanging="300"/>
      </w:pPr>
      <w:rPr>
        <w:rFonts w:ascii="Manrope" w:cs="Manrope" w:eastAsia="Manrope" w:hAnsi="Manrope"/>
        <w:b/>
        <w:bCs/>
        <w:color w:val="0C416E"/>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anrope" w:cs="Manrope" w:eastAsia="Manrope" w:hAnsi="Manrope"/>
        <w:color w:val="5C6677"/>
        <w:sz w:val="24"/>
        <w:szCs w:val="24"/>
      </w:rPr>
    </w:rPrDefault>
    <w:pPrDefault>
      <w:pPr>
        <w:spacing w:after="160" w:line="300" w:lineRule="auto"/>
      </w:pPr>
    </w:pPrDefault>
  </w:docDefaults>
  <w:style w:type="paragraph" w:styleId="Title">
    <w:name w:val="Title"/>
    <w:basedOn w:val="Normal"/>
    <w:next w:val="Normal"/>
    <w:qFormat/>
    <w:pPr>
      <w:spacing w:after="160" w:line="264" w:lineRule="auto"/>
    </w:pPr>
    <w:rPr>
      <w:rFonts w:ascii="Manrope" w:cs="Manrope" w:eastAsia="Manrope" w:hAnsi="Manrope"/>
      <w:b/>
      <w:bCs/>
      <w:color w:val="0C416E"/>
      <w:spacing w:val="-10"/>
      <w:sz w:val="60"/>
      <w:szCs w:val="60"/>
    </w:rPr>
  </w:style>
  <w:style w:type="paragraph" w:styleId="Heading1">
    <w:name w:val="Heading 1"/>
    <w:basedOn w:val="Normal"/>
    <w:next w:val="Normal"/>
    <w:qFormat/>
    <w:pPr>
      <w:keepNext/>
      <w:spacing w:after="160" w:before="480" w:line="276" w:lineRule="auto"/>
    </w:pPr>
    <w:rPr>
      <w:rFonts w:ascii="Manrope" w:cs="Manrope" w:eastAsia="Manrope" w:hAnsi="Manrope"/>
      <w:b/>
      <w:bCs/>
      <w:color w:val="0C416E"/>
      <w:spacing w:val="-6"/>
      <w:sz w:val="40"/>
      <w:szCs w:val="40"/>
    </w:rPr>
  </w:style>
  <w:style w:type="paragraph" w:styleId="Heading2">
    <w:name w:val="Heading 2"/>
    <w:basedOn w:val="Normal"/>
    <w:next w:val="Normal"/>
    <w:qFormat/>
    <w:pPr>
      <w:keepNext/>
      <w:spacing w:after="120" w:before="360" w:line="276" w:lineRule="auto"/>
    </w:pPr>
    <w:rPr>
      <w:rFonts w:ascii="Manrope" w:cs="Manrope" w:eastAsia="Manrope" w:hAnsi="Manrope"/>
      <w:b/>
      <w:bCs/>
      <w:color w:val="0C416E"/>
      <w:spacing w:val="-4"/>
      <w:sz w:val="30"/>
      <w:szCs w:val="30"/>
    </w:rPr>
  </w:style>
  <w:style w:type="paragraph" w:styleId="Heading3">
    <w:name w:val="Heading 3"/>
    <w:basedOn w:val="Normal"/>
    <w:next w:val="Normal"/>
    <w:qFormat/>
    <w:pPr>
      <w:keepNext/>
      <w:spacing w:after="80" w:before="280"/>
    </w:pPr>
    <w:rPr>
      <w:rFonts w:ascii="Manrope" w:cs="Manrope" w:eastAsia="Manrope" w:hAnsi="Manrope"/>
      <w:b/>
      <w:bCs/>
      <w:color w:val="0C416E"/>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45AA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Subtitle">
    <w:name w:val="Subtitle"/>
    <w:basedOn w:val="Normal"/>
    <w:next w:val="Normal"/>
    <w:qFormat/>
    <w:pPr>
      <w:spacing w:after="360"/>
    </w:pPr>
    <w:rPr>
      <w:color w:val="5C6677"/>
      <w:sz w:val="28"/>
      <w:szCs w:val="28"/>
    </w:rPr>
  </w:style>
  <w:style w:type="paragraph" w:styleId="CoverLabel">
    <w:name w:val="Cover label"/>
    <w:basedOn w:val="Normal"/>
    <w:next w:val="Normal"/>
    <w:qFormat/>
    <w:pPr>
      <w:spacing w:after="160" w:before="4200"/>
    </w:pPr>
    <w:rPr>
      <w:b/>
      <w:bCs/>
      <w:caps/>
      <w:color w:val="BAE0FD"/>
      <w:spacing w:val="30"/>
      <w:sz w:val="18"/>
      <w:szCs w:val="18"/>
    </w:rPr>
  </w:style>
  <w:style w:type="paragraph" w:styleId="CoverTitle">
    <w:name w:val="Cover title"/>
    <w:basedOn w:val="Title"/>
    <w:next w:val="CoverSubtitle"/>
    <w:qFormat/>
    <w:pPr>
      <w:spacing w:after="240" w:line="252" w:lineRule="auto"/>
    </w:pPr>
    <w:rPr>
      <w:b/>
      <w:bCs/>
      <w:color w:val="FFFFFF"/>
      <w:spacing w:val="-12"/>
      <w:sz w:val="72"/>
      <w:szCs w:val="72"/>
    </w:rPr>
  </w:style>
  <w:style w:type="paragraph" w:styleId="CoverSubtitle">
    <w:name w:val="Cover subtitle"/>
    <w:basedOn w:val="Normal"/>
    <w:next w:val="Normal"/>
    <w:qFormat/>
    <w:pPr>
      <w:spacing w:after="120"/>
    </w:pPr>
    <w:rPr>
      <w:color w:val="E0EFFE"/>
      <w:sz w:val="28"/>
      <w:szCs w:val="28"/>
    </w:rPr>
  </w:style>
  <w:style w:type="paragraph" w:styleId="Eyebrow">
    <w:name w:val="Label"/>
    <w:basedOn w:val="Normal"/>
    <w:next w:val="Normal"/>
    <w:qFormat/>
    <w:pPr>
      <w:keepNext/>
      <w:spacing w:after="80" w:before="240"/>
    </w:pPr>
    <w:rPr>
      <w:b/>
      <w:bCs/>
      <w:caps/>
      <w:color w:val="045AA0"/>
      <w:spacing w:val="30"/>
      <w:sz w:val="18"/>
      <w:szCs w:val="18"/>
    </w:rPr>
  </w:style>
  <w:style w:type="paragraph" w:styleId="SectionNumber">
    <w:name w:val="Section number"/>
    <w:basedOn w:val="Normal"/>
    <w:next w:val="Heading1"/>
    <w:qFormat/>
    <w:pPr>
      <w:keepNext/>
      <w:spacing w:after="0" w:before="480"/>
    </w:pPr>
    <w:rPr>
      <w:b/>
      <w:bCs/>
      <w:color w:val="E3461F"/>
      <w:spacing w:val="20"/>
      <w:sz w:val="22"/>
      <w:szCs w:val="22"/>
    </w:rPr>
  </w:style>
  <w:style w:type="paragraph" w:styleId="Lead">
    <w:name w:val="Lead"/>
    <w:basedOn w:val="Normal"/>
    <w:next w:val="Normal"/>
    <w:qFormat/>
    <w:pPr>
      <w:spacing w:after="240" w:line="312" w:lineRule="auto"/>
    </w:pPr>
    <w:rPr>
      <w:color w:val="5C6677"/>
      <w:sz w:val="28"/>
      <w:szCs w:val="28"/>
    </w:rPr>
  </w:style>
  <w:style w:type="paragraph" w:styleId="CalloutCaveat">
    <w:name w:val="Callout caveat"/>
    <w:basedOn w:val="Normal"/>
    <w:next w:val="Normal"/>
    <w:qFormat/>
    <w:pPr>
      <w:pBdr>
        <w:top w:val="single" w:color="FEF4F2" w:sz="24" w:space="6"/>
        <w:left w:val="single" w:color="FEF4F2" w:sz="24" w:space="8"/>
        <w:bottom w:val="single" w:color="FEF4F2" w:sz="24" w:space="6"/>
        <w:right w:val="single" w:color="FEF4F2" w:sz="24" w:space="8"/>
      </w:pBdr>
      <w:shd w:fill="FEF4F2" w:color="auto" w:val="clear"/>
      <w:spacing w:after="240" w:before="240" w:line="312" w:lineRule="auto"/>
      <w:ind w:left="200" w:right="200"/>
    </w:pPr>
    <w:rPr>
      <w:color w:val="9E3116"/>
    </w:rPr>
  </w:style>
  <w:style w:type="paragraph" w:styleId="CalloutContext">
    <w:name w:val="Callout context"/>
    <w:basedOn w:val="Normal"/>
    <w:next w:val="Normal"/>
    <w:qFormat/>
    <w:pPr>
      <w:pBdr>
        <w:top w:val="single" w:color="F0F8FF" w:sz="24" w:space="6"/>
        <w:left w:val="single" w:color="F0F8FF" w:sz="24" w:space="8"/>
        <w:bottom w:val="single" w:color="F0F8FF" w:sz="24" w:space="6"/>
        <w:right w:val="single" w:color="F0F8FF" w:sz="24" w:space="8"/>
      </w:pBdr>
      <w:shd w:fill="F0F8FF" w:color="auto" w:val="clear"/>
      <w:spacing w:after="240" w:before="240" w:line="312" w:lineRule="auto"/>
      <w:ind w:left="200" w:right="200"/>
    </w:pPr>
    <w:rPr>
      <w:color w:val="0C416E"/>
    </w:rPr>
  </w:style>
  <w:style w:type="paragraph" w:styleId="CalloutDone">
    <w:name w:val="Callout done"/>
    <w:basedOn w:val="Normal"/>
    <w:next w:val="Normal"/>
    <w:qFormat/>
    <w:pPr>
      <w:pBdr>
        <w:top w:val="single" w:color="F0FDF5" w:sz="24" w:space="6"/>
        <w:left w:val="single" w:color="F0FDF5" w:sz="24" w:space="8"/>
        <w:bottom w:val="single" w:color="F0FDF5" w:sz="24" w:space="6"/>
        <w:right w:val="single" w:color="F0FDF5" w:sz="24" w:space="8"/>
      </w:pBdr>
      <w:shd w:fill="F0FDF5" w:color="auto" w:val="clear"/>
      <w:spacing w:after="240" w:before="240" w:line="312" w:lineRule="auto"/>
      <w:ind w:left="200" w:right="200"/>
    </w:pPr>
    <w:rPr>
      <w:color w:val="166533"/>
    </w:rPr>
  </w:style>
  <w:style w:type="paragraph" w:styleId="Caption">
    <w:name w:val="Caption"/>
    <w:basedOn w:val="Normal"/>
    <w:next w:val="Normal"/>
    <w:qFormat/>
    <w:pPr>
      <w:spacing w:after="240" w:before="80"/>
    </w:pPr>
    <w:rPr>
      <w:color w:val="5C6677"/>
      <w:sz w:val="18"/>
      <w:szCs w:val="18"/>
    </w:rPr>
  </w:style>
  <w:style w:type="paragraph" w:styleId="Source">
    <w:name w:val="Source note"/>
    <w:basedOn w:val="Normal"/>
    <w:next w:val="Normal"/>
    <w:qFormat/>
    <w:pPr>
      <w:spacing w:after="240" w:before="60"/>
    </w:pPr>
    <w:rPr>
      <w:i w:val="false"/>
      <w:iCs w:val="false"/>
      <w:color w:val="5C6677"/>
      <w:sz w:val="18"/>
      <w:szCs w:val="18"/>
    </w:rPr>
  </w:style>
  <w:style w:type="paragraph" w:styleId="CodeBlock">
    <w:name w:val="Code"/>
    <w:basedOn w:val="Normal"/>
    <w:next w:val="Normal"/>
    <w:qFormat/>
    <w:pPr>
      <w:shd w:fill="ECF0F3" w:color="auto" w:val="clear"/>
      <w:spacing w:after="0" w:line="276" w:lineRule="auto"/>
    </w:pPr>
    <w:rPr>
      <w:rFonts w:ascii="Noto Sans Mono" w:cs="Noto Sans Mono" w:eastAsia="Noto Sans Mono" w:hAnsi="Noto Sans Mono"/>
      <w:color w:val="0C416E"/>
      <w:sz w:val="19"/>
      <w:szCs w:val="19"/>
    </w:rPr>
  </w:style>
  <w:style w:type="paragraph" w:styleId="TableHeader">
    <w:name w:val="Table header"/>
    <w:basedOn w:val="Normal"/>
    <w:next w:val="Normal"/>
    <w:qFormat/>
    <w:pPr>
      <w:spacing w:after="60" w:before="60" w:line="240" w:lineRule="auto"/>
    </w:pPr>
    <w:rPr>
      <w:b/>
      <w:bCs/>
      <w:caps/>
      <w:color w:val="0C416E"/>
      <w:spacing w:val="20"/>
      <w:sz w:val="18"/>
      <w:szCs w:val="18"/>
    </w:rPr>
  </w:style>
  <w:style w:type="paragraph" w:styleId="TableText">
    <w:name w:val="Table text"/>
    <w:basedOn w:val="Normal"/>
    <w:next w:val="Normal"/>
    <w:qFormat/>
    <w:pPr>
      <w:spacing w:after="60" w:before="60" w:line="264" w:lineRule="auto"/>
    </w:pPr>
    <w:rPr>
      <w:color w:val="5C6677"/>
      <w:sz w:val="20"/>
      <w:szCs w:val="20"/>
    </w:rPr>
  </w:style>
  <w:style w:type="paragraph" w:styleId="TableNumber">
    <w:name w:val="Table number"/>
    <w:basedOn w:val="TableText"/>
    <w:next w:val="Normal"/>
    <w:qFormat/>
    <w:pPr>
      <w:spacing w:after="60" w:before="60" w:line="264" w:lineRule="auto"/>
      <w:jc w:val="right"/>
    </w:pPr>
    <w:rPr>
      <w:rFonts w:ascii="Noto Sans Mono" w:cs="Noto Sans Mono" w:eastAsia="Noto Sans Mono" w:hAnsi="Noto Sans Mono"/>
      <w:color w:val="5C6677"/>
      <w:sz w:val="19"/>
      <w:szCs w:val="19"/>
    </w:rPr>
  </w:style>
  <w:style w:type="paragraph" w:styleId="HeaderFooterText">
    <w:name w:val="Footer text"/>
    <w:basedOn w:val="Normal"/>
    <w:next w:val="Normal"/>
    <w:qFormat/>
    <w:pPr>
      <w:spacing w:after="0" w:line="240" w:lineRule="auto"/>
    </w:pPr>
    <w:rPr>
      <w:color w:val="94A3B8"/>
      <w:sz w:val="18"/>
      <w:szCs w:val="18"/>
    </w:rPr>
  </w:style>
  <w:style w:type="character" w:styleId="Numbers">
    <w:name w:val="Numbers"/>
    <w:basedOn w:val="DefaultParagraphFont"/>
    <w:uiPriority w:val="99"/>
    <w:unhideWhenUsed/>
    <w:qFormat/>
    <w:rPr>
      <w:rFonts w:ascii="Noto Sans Mono" w:cs="Noto Sans Mono" w:eastAsia="Noto Sans Mono" w:hAnsi="Noto Sans Mono"/>
    </w:rPr>
  </w:style>
  <w:style w:type="character" w:styleId="InlineCode">
    <w:name w:val="Inline code"/>
    <w:basedOn w:val="DefaultParagraphFont"/>
    <w:uiPriority w:val="99"/>
    <w:unhideWhenUsed/>
    <w:qFormat/>
    <w:rPr>
      <w:rFonts w:ascii="Noto Sans Mono" w:cs="Noto Sans Mono" w:eastAsia="Noto Sans Mono" w:hAnsi="Noto Sans Mono"/>
      <w:color w:val="045AA0"/>
      <w:sz w:val="20"/>
      <w:szCs w:val="20"/>
      <w:shd w:fill="ECF0F3" w:color="auto" w:val="clear"/>
    </w:rPr>
  </w:style>
  <w:style w:type="character" w:styleId="BrandStrong">
    <w:name w:val="Strong emphasis"/>
    <w:basedOn w:val="DefaultParagraphFont"/>
    <w:uiPriority w:val="99"/>
    <w:unhideWhenUsed/>
    <w:qFormat/>
    <w:rPr>
      <w:b/>
      <w:bCs/>
      <w:color w:val="0C416E"/>
    </w:rPr>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SimpleTable">
    <w:name w:val="Simple table"/>
    <w:basedOn w:val="TableNormal"/>
    <w:uiPriority w:val="1"/>
    <w:qFormat/>
    <w:pPr>
      <w:spacing w:before="60" w:after="60" w:line="264" w:lineRule="auto"/>
    </w:pPr>
    <w:rPr>
      <w:sz w:val="20"/>
    </w:rPr>
    <w:tblPr>
      <w:tblBorders>
        <w:top w:val="nil"/>
        <w:left w:val="nil"/>
        <w:bottom w:val="single" w:sz="4" w:space="0" w:color="DCE4E9"/>
        <w:right w:val="nil"/>
        <w:insideH w:val="single" w:sz="4" w:space="0" w:color="DCE4E9"/>
        <w:insideV w:val="nil"/>
      </w:tblBorders>
      <w:tblCellMar>
        <w:top w:w="40" w:type="dxa"/>
        <w:left w:w="120" w:type="dxa"/>
        <w:bottom w:w="40" w:type="dxa"/>
        <w:right w:w="120" w:type="dxa"/>
      </w:tblCellMar>
    </w:tblPr>
    <w:tblStylePr w:type="firstRow">
      <w:rPr>
        <w:b/>
        <w:caps/>
        <w:color w:val="0C416E"/>
        <w:spacing w:val="20"/>
        <w:sz w:val="18"/>
      </w:rPr>
      <w:tcPr>
        <w:shd w:val="clear" w:color="auto" w:fill="F0F8FF"/>
      </w:tcPr>
    </w:tblStyle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9d336863b42ed70aafe0774bb17ff51bdd0b107f.png"/><Relationship Id="rId12" Type="http://schemas.openxmlformats.org/officeDocument/2006/relationships/image" Target="media/368006fbef5b816d36116d0b33f45d76eda80672.png"/><Relationship Id="rId13" Type="http://schemas.openxmlformats.org/officeDocument/2006/relationships/fontTable" Target="fontTable.xml"/><Relationship Id="rIdTheme1" Type="http://schemas.openxmlformats.org/officeDocument/2006/relationships/theme" Target="theme/theme1.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_rels/header2.xml.rels><?xml version="1.0" encoding="UTF-8"?><Relationships xmlns="http://schemas.openxmlformats.org/package/2006/relationships"><Relationship Id="rId0" Type="http://schemas.openxmlformats.org/officeDocument/2006/relationships/image" Target="media/f6e703a600718675b6beed84533223df13fdf4f1.png"/></Relationships>
</file>

<file path=word/theme/theme1.xml><?xml version="1.0" encoding="utf-8"?>
<a:theme xmlns:a="http://schemas.openxmlformats.org/drawingml/2006/main" name="Simple Healthcare">
  <a:themeElements>
    <a:clrScheme name="Simple Healthcare">
      <a:dk1>
        <a:srgbClr val="2D3139"/>
      </a:dk1>
      <a:lt1>
        <a:srgbClr val="FFFFFF"/>
      </a:lt1>
      <a:dk2>
        <a:srgbClr val="0C416E"/>
      </a:dk2>
      <a:lt2>
        <a:srgbClr val="F0F8FF"/>
      </a:lt2>
      <a:accent1>
        <a:srgbClr val="0FB5A0"/>
      </a:accent1>
      <a:accent2>
        <a:srgbClr val="037AD5"/>
      </a:accent2>
      <a:accent3>
        <a:srgbClr val="AEBCCB"/>
      </a:accent3>
      <a:accent4>
        <a:srgbClr val="084D84"/>
      </a:accent4>
      <a:accent5>
        <a:srgbClr val="0C796F"/>
      </a:accent5>
      <a:accent6>
        <a:srgbClr val="E3461F"/>
      </a:accent6>
      <a:hlink>
        <a:srgbClr val="045AA0"/>
      </a:hlink>
      <a:folHlink>
        <a:srgbClr val="084D84"/>
      </a:folHlink>
    </a:clrScheme>
    <a:fontScheme name="Simple Healthcare">
      <a:majorFont>
        <a:latin typeface="Manrop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Manrop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creator>Simple Healthcare</dc:creator>
  <dc:description>Simple Healthcare document template</dc:description>
  <cp:lastModifiedBy>Un-named</cp:lastModifiedBy>
  <cp:revision>1</cp:revision>
  <dcterms:created xsi:type="dcterms:W3CDTF">2026-09-17T17:10:16.988Z</dcterms:created>
  <dcterms:modified xsi:type="dcterms:W3CDTF">2026-09-17T17:10:16.989Z</dcterms:modified>
</cp:coreProperties>
</file>

<file path=docProps/custom.xml><?xml version="1.0" encoding="utf-8"?>
<Properties xmlns="http://schemas.openxmlformats.org/officeDocument/2006/custom-properties" xmlns:vt="http://schemas.openxmlformats.org/officeDocument/2006/docPropsVTypes"/>
</file>